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400" w:type="dxa"/>
        <w:jc w:val="center"/>
        <w:tblCellSpacing w:w="7" w:type="dxa"/>
        <w:tblCellMar>
          <w:top w:w="15" w:type="dxa"/>
          <w:left w:w="15" w:type="dxa"/>
          <w:bottom w:w="15" w:type="dxa"/>
          <w:right w:w="15" w:type="dxa"/>
        </w:tblCellMar>
        <w:tblLook w:val="04A0"/>
      </w:tblPr>
      <w:tblGrid>
        <w:gridCol w:w="11400"/>
      </w:tblGrid>
      <w:tr w:rsidR="009015A0" w:rsidRPr="009015A0" w:rsidTr="009015A0">
        <w:trPr>
          <w:tblCellSpacing w:w="7" w:type="dxa"/>
          <w:jc w:val="center"/>
        </w:trPr>
        <w:tc>
          <w:tcPr>
            <w:tcW w:w="0" w:type="auto"/>
            <w:shd w:val="clear" w:color="auto" w:fill="FFFFFF"/>
            <w:vAlign w:val="center"/>
            <w:hideMark/>
          </w:tcPr>
          <w:p w:rsidR="009015A0" w:rsidRPr="009015A0" w:rsidRDefault="009015A0" w:rsidP="009015A0">
            <w:pPr>
              <w:spacing w:after="0"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w:drawing>
                <wp:inline distT="0" distB="0" distL="0" distR="0">
                  <wp:extent cx="666750" cy="771525"/>
                  <wp:effectExtent l="19050" t="0" r="0" b="0"/>
                  <wp:docPr id="1" name="Imagem 1" descr="http://www.al.ap.gov.br/brasaoama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l.ap.gov.br/brasaoamapa.jpg"/>
                          <pic:cNvPicPr>
                            <a:picLocks noChangeAspect="1" noChangeArrowheads="1"/>
                          </pic:cNvPicPr>
                        </pic:nvPicPr>
                        <pic:blipFill>
                          <a:blip r:embed="rId4" cstate="print"/>
                          <a:srcRect/>
                          <a:stretch>
                            <a:fillRect/>
                          </a:stretch>
                        </pic:blipFill>
                        <pic:spPr bwMode="auto">
                          <a:xfrm>
                            <a:off x="0" y="0"/>
                            <a:ext cx="666750" cy="771525"/>
                          </a:xfrm>
                          <a:prstGeom prst="rect">
                            <a:avLst/>
                          </a:prstGeom>
                          <a:noFill/>
                          <a:ln w="9525">
                            <a:noFill/>
                            <a:miter lim="800000"/>
                            <a:headEnd/>
                            <a:tailEnd/>
                          </a:ln>
                        </pic:spPr>
                      </pic:pic>
                    </a:graphicData>
                  </a:graphic>
                </wp:inline>
              </w:drawing>
            </w:r>
          </w:p>
        </w:tc>
      </w:tr>
      <w:tr w:rsidR="009015A0" w:rsidRPr="009015A0" w:rsidTr="009015A0">
        <w:trPr>
          <w:trHeight w:val="645"/>
          <w:tblCellSpacing w:w="7" w:type="dxa"/>
          <w:jc w:val="center"/>
        </w:trPr>
        <w:tc>
          <w:tcPr>
            <w:tcW w:w="0" w:type="auto"/>
            <w:shd w:val="clear" w:color="auto" w:fill="FFFFFF"/>
            <w:vAlign w:val="center"/>
            <w:hideMark/>
          </w:tcPr>
          <w:p w:rsidR="009015A0" w:rsidRPr="009015A0" w:rsidRDefault="009015A0" w:rsidP="009015A0">
            <w:pPr>
              <w:spacing w:after="0" w:line="240" w:lineRule="auto"/>
              <w:jc w:val="center"/>
              <w:rPr>
                <w:rFonts w:ascii="Times New Roman" w:eastAsia="Times New Roman" w:hAnsi="Times New Roman" w:cs="Times New Roman"/>
                <w:sz w:val="24"/>
                <w:szCs w:val="24"/>
                <w:lang w:eastAsia="pt-BR"/>
              </w:rPr>
            </w:pPr>
            <w:r w:rsidRPr="009015A0">
              <w:rPr>
                <w:rFonts w:ascii="Times New Roman" w:eastAsia="Times New Roman" w:hAnsi="Times New Roman" w:cs="Times New Roman"/>
                <w:sz w:val="24"/>
                <w:szCs w:val="24"/>
                <w:lang w:eastAsia="pt-BR"/>
              </w:rPr>
              <w:t>ESTADO DO AMAPÁ</w:t>
            </w:r>
            <w:r w:rsidRPr="009015A0">
              <w:rPr>
                <w:rFonts w:ascii="Times New Roman" w:eastAsia="Times New Roman" w:hAnsi="Times New Roman" w:cs="Times New Roman"/>
                <w:sz w:val="24"/>
                <w:szCs w:val="24"/>
                <w:lang w:eastAsia="pt-BR"/>
              </w:rPr>
              <w:br/>
              <w:t>ASSEMBLEIA LEGISLATIVA</w:t>
            </w:r>
          </w:p>
        </w:tc>
      </w:tr>
    </w:tbl>
    <w:p w:rsidR="009015A0" w:rsidRPr="009015A0" w:rsidRDefault="009015A0" w:rsidP="009015A0">
      <w:pPr>
        <w:spacing w:after="0" w:line="240" w:lineRule="auto"/>
        <w:rPr>
          <w:rFonts w:ascii="Times New Roman" w:eastAsia="Times New Roman" w:hAnsi="Times New Roman" w:cs="Times New Roman"/>
          <w:vanish/>
          <w:sz w:val="24"/>
          <w:szCs w:val="24"/>
          <w:lang w:eastAsia="pt-BR"/>
        </w:rPr>
      </w:pPr>
    </w:p>
    <w:tbl>
      <w:tblPr>
        <w:tblW w:w="11400" w:type="dxa"/>
        <w:jc w:val="center"/>
        <w:tblCellSpacing w:w="15" w:type="dxa"/>
        <w:shd w:val="clear" w:color="auto" w:fill="FFFFFF"/>
        <w:tblCellMar>
          <w:top w:w="30" w:type="dxa"/>
          <w:left w:w="30" w:type="dxa"/>
          <w:bottom w:w="30" w:type="dxa"/>
          <w:right w:w="30" w:type="dxa"/>
        </w:tblCellMar>
        <w:tblLook w:val="04A0"/>
      </w:tblPr>
      <w:tblGrid>
        <w:gridCol w:w="11400"/>
      </w:tblGrid>
      <w:tr w:rsidR="009015A0" w:rsidRPr="009015A0" w:rsidTr="009015A0">
        <w:trPr>
          <w:trHeight w:val="1245"/>
          <w:tblCellSpacing w:w="15" w:type="dxa"/>
          <w:jc w:val="center"/>
        </w:trPr>
        <w:tc>
          <w:tcPr>
            <w:tcW w:w="0" w:type="auto"/>
            <w:shd w:val="clear" w:color="auto" w:fill="FFFFFF"/>
            <w:hideMark/>
          </w:tcPr>
          <w:tbl>
            <w:tblPr>
              <w:tblW w:w="9345" w:type="dxa"/>
              <w:jc w:val="center"/>
              <w:tblCellSpacing w:w="15" w:type="dxa"/>
              <w:tblCellMar>
                <w:top w:w="30" w:type="dxa"/>
                <w:left w:w="30" w:type="dxa"/>
                <w:bottom w:w="30" w:type="dxa"/>
                <w:right w:w="30" w:type="dxa"/>
              </w:tblCellMar>
              <w:tblLook w:val="04A0"/>
            </w:tblPr>
            <w:tblGrid>
              <w:gridCol w:w="9345"/>
            </w:tblGrid>
            <w:tr w:rsidR="009015A0" w:rsidRPr="009015A0">
              <w:trPr>
                <w:tblCellSpacing w:w="15" w:type="dxa"/>
                <w:jc w:val="center"/>
              </w:trPr>
              <w:tc>
                <w:tcPr>
                  <w:tcW w:w="9525" w:type="dxa"/>
                  <w:vAlign w:val="center"/>
                  <w:hideMark/>
                </w:tcPr>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 Referente ao Projeto de Lei n. º 0017/06-GEA</w:t>
                  </w: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7"/>
                      <w:lang w:eastAsia="pt-BR"/>
                    </w:rPr>
                    <w:t>LEI N.º 0994, DE 23 DE MAIO DE 2006</w:t>
                  </w: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Publicada no Diário Oficial do Estado nº 3769, de 23.05.06</w:t>
                  </w: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Autor: Poder Executivo</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Aprova o Plano de Cargos e Salários do Instituto de Pesos e Medidas do Estado do Amapá e dá outras providências.</w:t>
                  </w:r>
                </w:p>
                <w:p w:rsidR="009015A0" w:rsidRPr="009015A0" w:rsidRDefault="009015A0" w:rsidP="009015A0">
                  <w:pPr>
                    <w:spacing w:before="100" w:beforeAutospacing="1" w:after="100" w:afterAutospacing="1" w:line="240" w:lineRule="auto"/>
                    <w:rPr>
                      <w:rFonts w:ascii="Arial" w:eastAsia="Times New Roman" w:hAnsi="Arial" w:cs="Arial"/>
                      <w:sz w:val="24"/>
                      <w:szCs w:val="24"/>
                      <w:lang w:eastAsia="pt-BR"/>
                    </w:rPr>
                  </w:pPr>
                  <w:r w:rsidRPr="009015A0">
                    <w:rPr>
                      <w:rFonts w:ascii="Arial" w:eastAsia="Times New Roman" w:hAnsi="Arial" w:cs="Arial"/>
                      <w:b/>
                      <w:bCs/>
                      <w:sz w:val="24"/>
                      <w:szCs w:val="24"/>
                      <w:lang w:eastAsia="pt-BR"/>
                    </w:rPr>
                    <w:t>O GOVERNADOR DO ESTADO DO AMAPÁ,</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Faço saber que a Assembleia Legislativa do Estado do Amapá aprovou e eu, nos termos do art. 107 da Constituição Estadual, sanciono a seguinte Lei:</w:t>
                  </w:r>
                  <w:r w:rsidRPr="009015A0">
                    <w:rPr>
                      <w:rFonts w:ascii="Arial" w:eastAsia="Times New Roman" w:hAnsi="Arial" w:cs="Arial"/>
                      <w:b/>
                      <w:bCs/>
                      <w:sz w:val="24"/>
                      <w:szCs w:val="24"/>
                      <w:lang w:eastAsia="pt-BR"/>
                    </w:rPr>
                    <w:t> </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b/>
                      <w:bCs/>
                      <w:sz w:val="24"/>
                      <w:szCs w:val="24"/>
                      <w:lang w:eastAsia="pt-BR"/>
                    </w:rPr>
                    <w:t>Art. 1º.</w:t>
                  </w:r>
                  <w:r w:rsidRPr="009015A0">
                    <w:rPr>
                      <w:rFonts w:ascii="Arial" w:eastAsia="Times New Roman" w:hAnsi="Arial" w:cs="Arial"/>
                      <w:sz w:val="24"/>
                      <w:szCs w:val="24"/>
                      <w:lang w:eastAsia="pt-BR"/>
                    </w:rPr>
                    <w:t xml:space="preserve"> Fica aprovado o Plano de Cargos e Salários do Instituto de Pesos e Medidas do Estado do Amapá – IPEM, na forma do disposto nos Anexos da presente Lei.</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b/>
                      <w:bCs/>
                      <w:sz w:val="24"/>
                      <w:szCs w:val="24"/>
                      <w:lang w:eastAsia="pt-BR"/>
                    </w:rPr>
                    <w:t xml:space="preserve">Art. 2º. </w:t>
                  </w:r>
                  <w:r w:rsidRPr="009015A0">
                    <w:rPr>
                      <w:rFonts w:ascii="Arial" w:eastAsia="Times New Roman" w:hAnsi="Arial" w:cs="Arial"/>
                      <w:sz w:val="24"/>
                      <w:szCs w:val="24"/>
                      <w:lang w:eastAsia="pt-BR"/>
                    </w:rPr>
                    <w:t>O quantitativo de cargos de provimento efetivo do IPEM, por categoria funcional e a respectiva remuneração estão estabelecidos nos anexos desta Lei.</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b/>
                      <w:bCs/>
                      <w:sz w:val="24"/>
                      <w:szCs w:val="24"/>
                      <w:lang w:eastAsia="pt-BR"/>
                    </w:rPr>
                    <w:t xml:space="preserve">Art. 3º. </w:t>
                  </w:r>
                  <w:r w:rsidRPr="009015A0">
                    <w:rPr>
                      <w:rFonts w:ascii="Arial" w:eastAsia="Times New Roman" w:hAnsi="Arial" w:cs="Arial"/>
                      <w:sz w:val="24"/>
                      <w:szCs w:val="24"/>
                      <w:lang w:eastAsia="pt-BR"/>
                    </w:rPr>
                    <w:t> As despesas decorrentes da execução desta Lei correrão à conta do orçamento estadual vigente.</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b/>
                      <w:bCs/>
                      <w:sz w:val="24"/>
                      <w:szCs w:val="24"/>
                      <w:lang w:eastAsia="pt-BR"/>
                    </w:rPr>
                    <w:t xml:space="preserve">Art. 4º. </w:t>
                  </w:r>
                  <w:r w:rsidRPr="009015A0">
                    <w:rPr>
                      <w:rFonts w:ascii="Arial" w:eastAsia="Times New Roman" w:hAnsi="Arial" w:cs="Arial"/>
                      <w:sz w:val="24"/>
                      <w:szCs w:val="24"/>
                      <w:lang w:eastAsia="pt-BR"/>
                    </w:rPr>
                    <w:t>Esta Lei entra em vigor na data de sua publicação.</w:t>
                  </w: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sz w:val="24"/>
                      <w:szCs w:val="24"/>
                      <w:lang w:eastAsia="pt-BR"/>
                    </w:rPr>
                    <w:t>Macapá-AP, 23 de maio de  2006.</w:t>
                  </w: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ANTÔNIO WALDEZ GÓES DA SILVA</w:t>
                  </w: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Governador</w:t>
                  </w: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ANEXO I</w:t>
                  </w: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TÍTULO I</w:t>
                  </w: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DOS OBJETIVOS</w:t>
                  </w:r>
                  <w:r w:rsidRPr="009015A0">
                    <w:rPr>
                      <w:rFonts w:ascii="Arial" w:eastAsia="Times New Roman" w:hAnsi="Arial" w:cs="Arial"/>
                      <w:b/>
                      <w:bCs/>
                      <w:i/>
                      <w:iCs/>
                      <w:sz w:val="24"/>
                      <w:szCs w:val="24"/>
                      <w:lang w:eastAsia="pt-BR"/>
                    </w:rPr>
                    <w:t> </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b/>
                      <w:bCs/>
                      <w:sz w:val="24"/>
                      <w:szCs w:val="24"/>
                      <w:lang w:eastAsia="pt-BR"/>
                    </w:rPr>
                    <w:t xml:space="preserve">Art. 1º. </w:t>
                  </w:r>
                  <w:r w:rsidRPr="009015A0">
                    <w:rPr>
                      <w:rFonts w:ascii="Arial" w:eastAsia="Times New Roman" w:hAnsi="Arial" w:cs="Arial"/>
                      <w:sz w:val="24"/>
                      <w:szCs w:val="24"/>
                      <w:lang w:eastAsia="pt-BR"/>
                    </w:rPr>
                    <w:t xml:space="preserve"> O Plano de Cargos e Salários – PCS dos Servidores Públicos do Quadro de </w:t>
                  </w:r>
                  <w:r w:rsidRPr="009015A0">
                    <w:rPr>
                      <w:rFonts w:ascii="Arial" w:eastAsia="Times New Roman" w:hAnsi="Arial" w:cs="Arial"/>
                      <w:sz w:val="24"/>
                      <w:szCs w:val="24"/>
                      <w:lang w:eastAsia="pt-BR"/>
                    </w:rPr>
                    <w:lastRenderedPageBreak/>
                    <w:t xml:space="preserve">Pessoal do Instituto de </w:t>
                  </w:r>
                  <w:proofErr w:type="spellStart"/>
                  <w:r w:rsidRPr="009015A0">
                    <w:rPr>
                      <w:rFonts w:ascii="Arial" w:eastAsia="Times New Roman" w:hAnsi="Arial" w:cs="Arial"/>
                      <w:sz w:val="24"/>
                      <w:szCs w:val="24"/>
                      <w:lang w:eastAsia="pt-BR"/>
                    </w:rPr>
                    <w:t>Pessos</w:t>
                  </w:r>
                  <w:proofErr w:type="spellEnd"/>
                  <w:r w:rsidRPr="009015A0">
                    <w:rPr>
                      <w:rFonts w:ascii="Arial" w:eastAsia="Times New Roman" w:hAnsi="Arial" w:cs="Arial"/>
                      <w:sz w:val="24"/>
                      <w:szCs w:val="24"/>
                      <w:lang w:eastAsia="pt-BR"/>
                    </w:rPr>
                    <w:t xml:space="preserve"> e Medidas do Estado do Amapá – IPEM, visa propiciar ao </w:t>
                  </w:r>
                  <w:proofErr w:type="gramStart"/>
                  <w:r w:rsidRPr="009015A0">
                    <w:rPr>
                      <w:rFonts w:ascii="Arial" w:eastAsia="Times New Roman" w:hAnsi="Arial" w:cs="Arial"/>
                      <w:sz w:val="24"/>
                      <w:szCs w:val="24"/>
                      <w:lang w:eastAsia="pt-BR"/>
                    </w:rPr>
                    <w:t>Governo meios eficientes e racionais</w:t>
                  </w:r>
                  <w:proofErr w:type="gramEnd"/>
                  <w:r w:rsidRPr="009015A0">
                    <w:rPr>
                      <w:rFonts w:ascii="Arial" w:eastAsia="Times New Roman" w:hAnsi="Arial" w:cs="Arial"/>
                      <w:sz w:val="24"/>
                      <w:szCs w:val="24"/>
                      <w:lang w:eastAsia="pt-BR"/>
                    </w:rPr>
                    <w:t xml:space="preserve"> para recrutamento, seleção, retenção e motivação da mão-de-obra necessária à execução de suas atribuições governamentais.</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b/>
                      <w:bCs/>
                      <w:sz w:val="24"/>
                      <w:szCs w:val="24"/>
                      <w:lang w:eastAsia="pt-BR"/>
                    </w:rPr>
                    <w:t xml:space="preserve">Art. 2º. </w:t>
                  </w:r>
                  <w:r w:rsidRPr="009015A0">
                    <w:rPr>
                      <w:rFonts w:ascii="Arial" w:eastAsia="Times New Roman" w:hAnsi="Arial" w:cs="Arial"/>
                      <w:sz w:val="24"/>
                      <w:szCs w:val="24"/>
                      <w:lang w:eastAsia="pt-BR"/>
                    </w:rPr>
                    <w:t> São objetivos específicos deste Plano os seguintes:</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I – orientar a realização de estudos, ações e  a tomada de decisões no âmbito da administração dos recursos humanos do Estado;</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II – possibilitar o reconhecimento dos cargos através de observação das respectivas descrições, bem como dos requisitos indispensáveis ao seu exercício e ao enquadramento dos servidores;</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 xml:space="preserve">III – por condições para aplicação de uma política de promoção e remuneração justa, que corresponda aos </w:t>
                  </w:r>
                  <w:proofErr w:type="spellStart"/>
                  <w:r w:rsidRPr="009015A0">
                    <w:rPr>
                      <w:rFonts w:ascii="Arial" w:eastAsia="Times New Roman" w:hAnsi="Arial" w:cs="Arial"/>
                      <w:sz w:val="24"/>
                      <w:szCs w:val="24"/>
                      <w:lang w:eastAsia="pt-BR"/>
                    </w:rPr>
                    <w:t>ensieios</w:t>
                  </w:r>
                  <w:proofErr w:type="spellEnd"/>
                  <w:r w:rsidRPr="009015A0">
                    <w:rPr>
                      <w:rFonts w:ascii="Arial" w:eastAsia="Times New Roman" w:hAnsi="Arial" w:cs="Arial"/>
                      <w:sz w:val="24"/>
                      <w:szCs w:val="24"/>
                      <w:lang w:eastAsia="pt-BR"/>
                    </w:rPr>
                    <w:t xml:space="preserve"> dos servidores do Instituto de Pesos e Medidas do Estado do Amapá;</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IV – propiciar à unidade responsável pelo recrutamento e seleção, elementos para o provimento adequado dos cargos;</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V – subsidiar o aperfeiçoamento e a implantação dos sistemas de avaliação de desempenho e de acompanhamento.</w:t>
                  </w: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TÍTULO II</w:t>
                  </w: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DOS CONCEITOS E DENOMINAÇÕES</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b/>
                      <w:bCs/>
                      <w:sz w:val="24"/>
                      <w:szCs w:val="24"/>
                      <w:lang w:eastAsia="pt-BR"/>
                    </w:rPr>
                    <w:t xml:space="preserve">Art. 3º. </w:t>
                  </w:r>
                  <w:r w:rsidRPr="009015A0">
                    <w:rPr>
                      <w:rFonts w:ascii="Arial" w:eastAsia="Times New Roman" w:hAnsi="Arial" w:cs="Arial"/>
                      <w:sz w:val="24"/>
                      <w:szCs w:val="24"/>
                      <w:lang w:eastAsia="pt-BR"/>
                    </w:rPr>
                    <w:t> Para administração do Plano, considera-se:</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 xml:space="preserve">I – </w:t>
                  </w:r>
                  <w:r w:rsidRPr="009015A0">
                    <w:rPr>
                      <w:rFonts w:ascii="Arial" w:eastAsia="Times New Roman" w:hAnsi="Arial" w:cs="Arial"/>
                      <w:b/>
                      <w:bCs/>
                      <w:sz w:val="24"/>
                      <w:szCs w:val="24"/>
                      <w:lang w:eastAsia="pt-BR"/>
                    </w:rPr>
                    <w:t>Cargo,</w:t>
                  </w:r>
                  <w:proofErr w:type="gramStart"/>
                  <w:r w:rsidRPr="009015A0">
                    <w:rPr>
                      <w:rFonts w:ascii="Arial" w:eastAsia="Times New Roman" w:hAnsi="Arial" w:cs="Arial"/>
                      <w:sz w:val="24"/>
                      <w:szCs w:val="24"/>
                      <w:lang w:eastAsia="pt-BR"/>
                    </w:rPr>
                    <w:t xml:space="preserve"> </w:t>
                  </w:r>
                  <w:r w:rsidRPr="009015A0">
                    <w:rPr>
                      <w:rFonts w:ascii="Arial" w:eastAsia="Times New Roman" w:hAnsi="Arial" w:cs="Arial"/>
                      <w:b/>
                      <w:bCs/>
                      <w:sz w:val="24"/>
                      <w:szCs w:val="24"/>
                      <w:lang w:eastAsia="pt-BR"/>
                    </w:rPr>
                    <w:t> </w:t>
                  </w:r>
                  <w:proofErr w:type="gramEnd"/>
                  <w:r w:rsidRPr="009015A0">
                    <w:rPr>
                      <w:rFonts w:ascii="Arial" w:eastAsia="Times New Roman" w:hAnsi="Arial" w:cs="Arial"/>
                      <w:sz w:val="24"/>
                      <w:szCs w:val="24"/>
                      <w:lang w:eastAsia="pt-BR"/>
                    </w:rPr>
                    <w:t>o conjunto de atribuições e responsabilidades que devem ser concedidas a um servidor;</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 xml:space="preserve">II – </w:t>
                  </w:r>
                  <w:r w:rsidRPr="009015A0">
                    <w:rPr>
                      <w:rFonts w:ascii="Arial" w:eastAsia="Times New Roman" w:hAnsi="Arial" w:cs="Arial"/>
                      <w:b/>
                      <w:bCs/>
                      <w:sz w:val="24"/>
                      <w:szCs w:val="24"/>
                      <w:lang w:eastAsia="pt-BR"/>
                    </w:rPr>
                    <w:t xml:space="preserve">Classe, </w:t>
                  </w:r>
                  <w:r w:rsidRPr="009015A0">
                    <w:rPr>
                      <w:rFonts w:ascii="Arial" w:eastAsia="Times New Roman" w:hAnsi="Arial" w:cs="Arial"/>
                      <w:sz w:val="24"/>
                      <w:szCs w:val="24"/>
                      <w:lang w:eastAsia="pt-BR"/>
                    </w:rPr>
                    <w:t>a unidade básica de cargos, integrada por padrões;</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 xml:space="preserve">III – </w:t>
                  </w:r>
                  <w:r w:rsidRPr="009015A0">
                    <w:rPr>
                      <w:rFonts w:ascii="Arial" w:eastAsia="Times New Roman" w:hAnsi="Arial" w:cs="Arial"/>
                      <w:b/>
                      <w:bCs/>
                      <w:sz w:val="24"/>
                      <w:szCs w:val="24"/>
                      <w:lang w:eastAsia="pt-BR"/>
                    </w:rPr>
                    <w:t>Padrão,</w:t>
                  </w:r>
                  <w:proofErr w:type="gramStart"/>
                  <w:r w:rsidRPr="009015A0">
                    <w:rPr>
                      <w:rFonts w:ascii="Arial" w:eastAsia="Times New Roman" w:hAnsi="Arial" w:cs="Arial"/>
                      <w:b/>
                      <w:bCs/>
                      <w:sz w:val="24"/>
                      <w:szCs w:val="24"/>
                      <w:lang w:eastAsia="pt-BR"/>
                    </w:rPr>
                    <w:t xml:space="preserve"> </w:t>
                  </w:r>
                  <w:r w:rsidRPr="009015A0">
                    <w:rPr>
                      <w:rFonts w:ascii="Arial" w:eastAsia="Times New Roman" w:hAnsi="Arial" w:cs="Arial"/>
                      <w:sz w:val="24"/>
                      <w:szCs w:val="24"/>
                      <w:lang w:eastAsia="pt-BR"/>
                    </w:rPr>
                    <w:t> </w:t>
                  </w:r>
                  <w:proofErr w:type="gramEnd"/>
                  <w:r w:rsidRPr="009015A0">
                    <w:rPr>
                      <w:rFonts w:ascii="Arial" w:eastAsia="Times New Roman" w:hAnsi="Arial" w:cs="Arial"/>
                      <w:sz w:val="24"/>
                      <w:szCs w:val="24"/>
                      <w:lang w:eastAsia="pt-BR"/>
                    </w:rPr>
                    <w:t xml:space="preserve">o nível de </w:t>
                  </w:r>
                  <w:proofErr w:type="spellStart"/>
                  <w:r w:rsidRPr="009015A0">
                    <w:rPr>
                      <w:rFonts w:ascii="Arial" w:eastAsia="Times New Roman" w:hAnsi="Arial" w:cs="Arial"/>
                      <w:sz w:val="24"/>
                      <w:szCs w:val="24"/>
                      <w:lang w:eastAsia="pt-BR"/>
                    </w:rPr>
                    <w:t>venciemnto</w:t>
                  </w:r>
                  <w:proofErr w:type="spellEnd"/>
                  <w:r w:rsidRPr="009015A0">
                    <w:rPr>
                      <w:rFonts w:ascii="Arial" w:eastAsia="Times New Roman" w:hAnsi="Arial" w:cs="Arial"/>
                      <w:sz w:val="24"/>
                      <w:szCs w:val="24"/>
                      <w:lang w:eastAsia="pt-BR"/>
                    </w:rPr>
                    <w:t xml:space="preserve"> correspondente à posição dos servidores nas Tabelas Salariais do IPEM;</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 xml:space="preserve">IV – </w:t>
                  </w:r>
                  <w:r w:rsidRPr="009015A0">
                    <w:rPr>
                      <w:rFonts w:ascii="Arial" w:eastAsia="Times New Roman" w:hAnsi="Arial" w:cs="Arial"/>
                      <w:b/>
                      <w:bCs/>
                      <w:sz w:val="24"/>
                      <w:szCs w:val="24"/>
                      <w:lang w:eastAsia="pt-BR"/>
                    </w:rPr>
                    <w:t>Quadro de Pessoal</w:t>
                  </w:r>
                  <w:r w:rsidRPr="009015A0">
                    <w:rPr>
                      <w:rFonts w:ascii="Arial" w:eastAsia="Times New Roman" w:hAnsi="Arial" w:cs="Arial"/>
                      <w:sz w:val="24"/>
                      <w:szCs w:val="24"/>
                      <w:lang w:eastAsia="pt-BR"/>
                    </w:rPr>
                    <w:t>, a força de trabalho necessária à execução das atividades do Instituto de Pesos e Medidas do Estado do Amapá - IPEM;</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 xml:space="preserve">V – </w:t>
                  </w:r>
                  <w:r w:rsidRPr="009015A0">
                    <w:rPr>
                      <w:rFonts w:ascii="Arial" w:eastAsia="Times New Roman" w:hAnsi="Arial" w:cs="Arial"/>
                      <w:b/>
                      <w:bCs/>
                      <w:sz w:val="24"/>
                      <w:szCs w:val="24"/>
                      <w:lang w:eastAsia="pt-BR"/>
                    </w:rPr>
                    <w:t>Progressão</w:t>
                  </w:r>
                  <w:proofErr w:type="gramStart"/>
                  <w:r w:rsidRPr="009015A0">
                    <w:rPr>
                      <w:rFonts w:ascii="Arial" w:eastAsia="Times New Roman" w:hAnsi="Arial" w:cs="Arial"/>
                      <w:sz w:val="24"/>
                      <w:szCs w:val="24"/>
                      <w:lang w:eastAsia="pt-BR"/>
                    </w:rPr>
                    <w:t>, é</w:t>
                  </w:r>
                  <w:proofErr w:type="gramEnd"/>
                  <w:r w:rsidRPr="009015A0">
                    <w:rPr>
                      <w:rFonts w:ascii="Arial" w:eastAsia="Times New Roman" w:hAnsi="Arial" w:cs="Arial"/>
                      <w:sz w:val="24"/>
                      <w:szCs w:val="24"/>
                      <w:lang w:eastAsia="pt-BR"/>
                    </w:rPr>
                    <w:t xml:space="preserve"> o avanço gradual do servidor de um padrão para o seguinte, na mesma classe, desde que, no período aquisitivo não tenha ausência injustificada ao serviço, sofrido pena disciplinar e tenha sido avaliado de acordo com os critérios de desempenho a serem regulamentados pelo Governo do Estado;</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 xml:space="preserve">VI – </w:t>
                  </w:r>
                  <w:r w:rsidRPr="009015A0">
                    <w:rPr>
                      <w:rFonts w:ascii="Arial" w:eastAsia="Times New Roman" w:hAnsi="Arial" w:cs="Arial"/>
                      <w:b/>
                      <w:bCs/>
                      <w:sz w:val="24"/>
                      <w:szCs w:val="24"/>
                      <w:lang w:eastAsia="pt-BR"/>
                    </w:rPr>
                    <w:t>Promoção</w:t>
                  </w:r>
                  <w:proofErr w:type="gramStart"/>
                  <w:r w:rsidRPr="009015A0">
                    <w:rPr>
                      <w:rFonts w:ascii="Arial" w:eastAsia="Times New Roman" w:hAnsi="Arial" w:cs="Arial"/>
                      <w:sz w:val="24"/>
                      <w:szCs w:val="24"/>
                      <w:lang w:eastAsia="pt-BR"/>
                    </w:rPr>
                    <w:t>, é</w:t>
                  </w:r>
                  <w:proofErr w:type="gramEnd"/>
                  <w:r w:rsidRPr="009015A0">
                    <w:rPr>
                      <w:rFonts w:ascii="Arial" w:eastAsia="Times New Roman" w:hAnsi="Arial" w:cs="Arial"/>
                      <w:sz w:val="24"/>
                      <w:szCs w:val="24"/>
                      <w:lang w:eastAsia="pt-BR"/>
                    </w:rPr>
                    <w:t xml:space="preserve"> a passagem do servidor estável de uma classe para a imediatamente superior àquela que ocupa na respectiva carreira, obedecidos os critérios de avaliação de desempenho, qualificação profissional, tempo de serviço e </w:t>
                  </w:r>
                  <w:r w:rsidRPr="009015A0">
                    <w:rPr>
                      <w:rFonts w:ascii="Arial" w:eastAsia="Times New Roman" w:hAnsi="Arial" w:cs="Arial"/>
                      <w:sz w:val="24"/>
                      <w:szCs w:val="24"/>
                      <w:lang w:eastAsia="pt-BR"/>
                    </w:rPr>
                    <w:lastRenderedPageBreak/>
                    <w:t>cumprimento adequado de interstício a ser regulamentados na forma do item anterior.</w:t>
                  </w: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TÍTULO III</w:t>
                  </w: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DO INGRESSO</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b/>
                      <w:bCs/>
                      <w:sz w:val="24"/>
                      <w:szCs w:val="24"/>
                      <w:lang w:eastAsia="pt-BR"/>
                    </w:rPr>
                    <w:t>Art. 4º.</w:t>
                  </w:r>
                  <w:r w:rsidRPr="009015A0">
                    <w:rPr>
                      <w:rFonts w:ascii="Arial" w:eastAsia="Times New Roman" w:hAnsi="Arial" w:cs="Arial"/>
                      <w:sz w:val="24"/>
                      <w:szCs w:val="24"/>
                      <w:lang w:eastAsia="pt-BR"/>
                    </w:rPr>
                    <w:t xml:space="preserve"> O ingresso dar-se-á mediante aprovação em concurso público de provas ou de provas e títulos, de acordo com a natureza e complexidade do cargo ou emprego, na forma prevista em Lei, no primeiro padrão de salário da classe inicial.</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b/>
                      <w:bCs/>
                      <w:sz w:val="24"/>
                      <w:szCs w:val="24"/>
                      <w:lang w:eastAsia="pt-BR"/>
                    </w:rPr>
                    <w:t xml:space="preserve">Art. 5º. </w:t>
                  </w:r>
                  <w:r w:rsidRPr="009015A0">
                    <w:rPr>
                      <w:rFonts w:ascii="Arial" w:eastAsia="Times New Roman" w:hAnsi="Arial" w:cs="Arial"/>
                      <w:sz w:val="24"/>
                      <w:szCs w:val="24"/>
                      <w:lang w:eastAsia="pt-BR"/>
                    </w:rPr>
                    <w:t xml:space="preserve">O concurso será </w:t>
                  </w:r>
                  <w:proofErr w:type="spellStart"/>
                  <w:r w:rsidRPr="009015A0">
                    <w:rPr>
                      <w:rFonts w:ascii="Arial" w:eastAsia="Times New Roman" w:hAnsi="Arial" w:cs="Arial"/>
                      <w:sz w:val="24"/>
                      <w:szCs w:val="24"/>
                      <w:lang w:eastAsia="pt-BR"/>
                    </w:rPr>
                    <w:t>relaizado</w:t>
                  </w:r>
                  <w:proofErr w:type="spellEnd"/>
                  <w:r w:rsidRPr="009015A0">
                    <w:rPr>
                      <w:rFonts w:ascii="Arial" w:eastAsia="Times New Roman" w:hAnsi="Arial" w:cs="Arial"/>
                      <w:sz w:val="24"/>
                      <w:szCs w:val="24"/>
                      <w:lang w:eastAsia="pt-BR"/>
                    </w:rPr>
                    <w:t xml:space="preserve"> de </w:t>
                  </w:r>
                  <w:proofErr w:type="spellStart"/>
                  <w:r w:rsidRPr="009015A0">
                    <w:rPr>
                      <w:rFonts w:ascii="Arial" w:eastAsia="Times New Roman" w:hAnsi="Arial" w:cs="Arial"/>
                      <w:sz w:val="24"/>
                      <w:szCs w:val="24"/>
                      <w:lang w:eastAsia="pt-BR"/>
                    </w:rPr>
                    <w:t>acrodo</w:t>
                  </w:r>
                  <w:proofErr w:type="spellEnd"/>
                  <w:r w:rsidRPr="009015A0">
                    <w:rPr>
                      <w:rFonts w:ascii="Arial" w:eastAsia="Times New Roman" w:hAnsi="Arial" w:cs="Arial"/>
                      <w:sz w:val="24"/>
                      <w:szCs w:val="24"/>
                      <w:lang w:eastAsia="pt-BR"/>
                    </w:rPr>
                    <w:t xml:space="preserve"> com as necessidades e interesse do Estado e do Instituto de Pesos e Medidas do Estado do Amapá.</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b/>
                      <w:bCs/>
                      <w:sz w:val="24"/>
                      <w:szCs w:val="24"/>
                      <w:lang w:eastAsia="pt-BR"/>
                    </w:rPr>
                    <w:t> </w:t>
                  </w:r>
                  <w:proofErr w:type="spellStart"/>
                  <w:r w:rsidRPr="009015A0">
                    <w:rPr>
                      <w:rFonts w:ascii="Arial" w:eastAsia="Times New Roman" w:hAnsi="Arial" w:cs="Arial"/>
                      <w:b/>
                      <w:bCs/>
                      <w:sz w:val="24"/>
                      <w:szCs w:val="24"/>
                      <w:lang w:eastAsia="pt-BR"/>
                    </w:rPr>
                    <w:t>Paragrafo</w:t>
                  </w:r>
                  <w:proofErr w:type="spellEnd"/>
                  <w:r w:rsidRPr="009015A0">
                    <w:rPr>
                      <w:rFonts w:ascii="Arial" w:eastAsia="Times New Roman" w:hAnsi="Arial" w:cs="Arial"/>
                      <w:b/>
                      <w:bCs/>
                      <w:sz w:val="24"/>
                      <w:szCs w:val="24"/>
                      <w:lang w:eastAsia="pt-BR"/>
                    </w:rPr>
                    <w:t xml:space="preserve"> único. </w:t>
                  </w:r>
                  <w:r w:rsidRPr="009015A0">
                    <w:rPr>
                      <w:rFonts w:ascii="Arial" w:eastAsia="Times New Roman" w:hAnsi="Arial" w:cs="Arial"/>
                      <w:sz w:val="24"/>
                      <w:szCs w:val="24"/>
                      <w:lang w:eastAsia="pt-BR"/>
                    </w:rPr>
                    <w:t>Excepcionalmente, será permitido concurso público para ingresso em classe diferente da inicial, quando comprovado o interesse da Administração e necessidade do Estado.</w:t>
                  </w: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TITULO IV</w:t>
                  </w: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DA PROGRESSÃO</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b/>
                      <w:bCs/>
                      <w:sz w:val="24"/>
                      <w:szCs w:val="24"/>
                      <w:lang w:eastAsia="pt-BR"/>
                    </w:rPr>
                    <w:t>Art. 6º.</w:t>
                  </w:r>
                  <w:r w:rsidRPr="009015A0">
                    <w:rPr>
                      <w:rFonts w:ascii="Arial" w:eastAsia="Times New Roman" w:hAnsi="Arial" w:cs="Arial"/>
                      <w:sz w:val="24"/>
                      <w:szCs w:val="24"/>
                      <w:lang w:eastAsia="pt-BR"/>
                    </w:rPr>
                    <w:t xml:space="preserve"> Para a progressão na carteira </w:t>
                  </w:r>
                  <w:proofErr w:type="gramStart"/>
                  <w:r w:rsidRPr="009015A0">
                    <w:rPr>
                      <w:rFonts w:ascii="Arial" w:eastAsia="Times New Roman" w:hAnsi="Arial" w:cs="Arial"/>
                      <w:sz w:val="24"/>
                      <w:szCs w:val="24"/>
                      <w:lang w:eastAsia="pt-BR"/>
                    </w:rPr>
                    <w:t>serão</w:t>
                  </w:r>
                  <w:proofErr w:type="gramEnd"/>
                  <w:r w:rsidRPr="009015A0">
                    <w:rPr>
                      <w:rFonts w:ascii="Arial" w:eastAsia="Times New Roman" w:hAnsi="Arial" w:cs="Arial"/>
                      <w:sz w:val="24"/>
                      <w:szCs w:val="24"/>
                      <w:lang w:eastAsia="pt-BR"/>
                    </w:rPr>
                    <w:t xml:space="preserve"> exigidos avaliação de desempenho e interstício mínimo de 18 (dezoito) meses e, máximo de 24 (vinte e quatro) meses.</w:t>
                  </w: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TÍTULO V</w:t>
                  </w: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DA ESTABILIDADE</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b/>
                      <w:bCs/>
                      <w:sz w:val="24"/>
                      <w:szCs w:val="24"/>
                      <w:lang w:eastAsia="pt-BR"/>
                    </w:rPr>
                    <w:t xml:space="preserve">Art. 7º. </w:t>
                  </w:r>
                  <w:r w:rsidRPr="009015A0">
                    <w:rPr>
                      <w:rFonts w:ascii="Arial" w:eastAsia="Times New Roman" w:hAnsi="Arial" w:cs="Arial"/>
                      <w:sz w:val="24"/>
                      <w:szCs w:val="24"/>
                      <w:lang w:eastAsia="pt-BR"/>
                    </w:rPr>
                    <w:t>Serão estáveis, após 03 (três) anos de efetivo exercício, os servidores nomeados para cargos de provimento efetivo em virtude de Concurso Público.</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 1º Como condição para aquisição da estabilidade, é obrigatória a avaliação especial de desempenho por comissão instituída para essa finalidade.</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 2º Os critérios de avaliação de desempenho serão adotados de acordo com a natureza das atividades desempenhadas por cada Grupo de Atividade aprovado pela Secretaria de Estado da Administração.</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 3º Na hipótese de insuficiência de desempenho, a perda do cargo ocorrerá mediante processo administrativo, em que seja assegurado o contraditório e a ampla defesa, de acordo com a Emenda Constitucional nº. 019, de 04 de julho de 1998.</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b/>
                      <w:bCs/>
                      <w:sz w:val="24"/>
                      <w:szCs w:val="24"/>
                      <w:lang w:eastAsia="pt-BR"/>
                    </w:rPr>
                    <w:t>Art. 8º.</w:t>
                  </w:r>
                  <w:r w:rsidRPr="009015A0">
                    <w:rPr>
                      <w:rFonts w:ascii="Arial" w:eastAsia="Times New Roman" w:hAnsi="Arial" w:cs="Arial"/>
                      <w:sz w:val="24"/>
                      <w:szCs w:val="24"/>
                      <w:lang w:eastAsia="pt-BR"/>
                    </w:rPr>
                    <w:t xml:space="preserve"> O cargo de provimento efetivo fica sujeito a 40 (quarenta) horas semanais de trabalho, salvo quando a lei estabelecer duração diversa.</w:t>
                  </w: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proofErr w:type="gramStart"/>
                  <w:r w:rsidRPr="009015A0">
                    <w:rPr>
                      <w:rFonts w:ascii="Arial" w:eastAsia="Times New Roman" w:hAnsi="Arial" w:cs="Arial"/>
                      <w:b/>
                      <w:bCs/>
                      <w:sz w:val="24"/>
                      <w:szCs w:val="24"/>
                      <w:lang w:eastAsia="pt-BR"/>
                    </w:rPr>
                    <w:t>TÍTULO VI</w:t>
                  </w:r>
                  <w:proofErr w:type="gramEnd"/>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DA ESTRUTURA DO PLANO DE CARGOS E SALÁRIOS</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b/>
                      <w:bCs/>
                      <w:sz w:val="24"/>
                      <w:szCs w:val="24"/>
                      <w:lang w:eastAsia="pt-BR"/>
                    </w:rPr>
                    <w:lastRenderedPageBreak/>
                    <w:t>Art. 9º.</w:t>
                  </w:r>
                  <w:r w:rsidRPr="009015A0">
                    <w:rPr>
                      <w:rFonts w:ascii="Arial" w:eastAsia="Times New Roman" w:hAnsi="Arial" w:cs="Arial"/>
                      <w:sz w:val="24"/>
                      <w:szCs w:val="24"/>
                      <w:lang w:eastAsia="pt-BR"/>
                    </w:rPr>
                    <w:t xml:space="preserve"> Os cargos do Plano de Cargos e Salários do IPEM serão agrupados em 01 (um) grupo de atividade com a seguinte denominação: </w:t>
                  </w:r>
                  <w:r w:rsidRPr="009015A0">
                    <w:rPr>
                      <w:rFonts w:ascii="Arial" w:eastAsia="Times New Roman" w:hAnsi="Arial" w:cs="Arial"/>
                      <w:b/>
                      <w:bCs/>
                      <w:sz w:val="24"/>
                      <w:szCs w:val="24"/>
                      <w:lang w:eastAsia="pt-BR"/>
                    </w:rPr>
                    <w:t>Grupo Fiscalização, Arrecadação e Apoio às Atividades Operacionais.</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b/>
                      <w:bCs/>
                      <w:sz w:val="24"/>
                      <w:szCs w:val="24"/>
                      <w:lang w:eastAsia="pt-BR"/>
                    </w:rPr>
                    <w:t xml:space="preserve">Art. 10. </w:t>
                  </w:r>
                  <w:r w:rsidRPr="009015A0">
                    <w:rPr>
                      <w:rFonts w:ascii="Arial" w:eastAsia="Times New Roman" w:hAnsi="Arial" w:cs="Arial"/>
                      <w:sz w:val="24"/>
                      <w:szCs w:val="24"/>
                      <w:lang w:eastAsia="pt-BR"/>
                    </w:rPr>
                    <w:t xml:space="preserve">O Grupo Fiscalização, Arrecadação e Apoio às Atividades Operacionais </w:t>
                  </w:r>
                  <w:proofErr w:type="gramStart"/>
                  <w:r w:rsidRPr="009015A0">
                    <w:rPr>
                      <w:rFonts w:ascii="Arial" w:eastAsia="Times New Roman" w:hAnsi="Arial" w:cs="Arial"/>
                      <w:sz w:val="24"/>
                      <w:szCs w:val="24"/>
                      <w:lang w:eastAsia="pt-BR"/>
                    </w:rPr>
                    <w:t>será composto de Especialistas de Nível Superior em Metrologia ou Avaliação da Conformidade e Inspetor de Atividade de Campo de Nível Superior</w:t>
                  </w:r>
                  <w:proofErr w:type="gramEnd"/>
                  <w:r w:rsidRPr="009015A0">
                    <w:rPr>
                      <w:rFonts w:ascii="Arial" w:eastAsia="Times New Roman" w:hAnsi="Arial" w:cs="Arial"/>
                      <w:sz w:val="24"/>
                      <w:szCs w:val="24"/>
                      <w:lang w:eastAsia="pt-BR"/>
                    </w:rPr>
                    <w:t>, Advogado, Analista de Sistema, Contador e Economista.</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b/>
                      <w:bCs/>
                      <w:sz w:val="24"/>
                      <w:szCs w:val="24"/>
                      <w:lang w:eastAsia="pt-BR"/>
                    </w:rPr>
                    <w:t>Art. 11.</w:t>
                  </w:r>
                  <w:r w:rsidRPr="009015A0">
                    <w:rPr>
                      <w:rFonts w:ascii="Arial" w:eastAsia="Times New Roman" w:hAnsi="Arial" w:cs="Arial"/>
                      <w:sz w:val="24"/>
                      <w:szCs w:val="24"/>
                      <w:lang w:eastAsia="pt-BR"/>
                    </w:rPr>
                    <w:t xml:space="preserve"> Os padrões e as classes do Grupo de Fiscalização, Arrecadação e Apoio às Atividades Operacionais, estão escalonados na Forma do Anexo II.</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b/>
                      <w:bCs/>
                      <w:sz w:val="24"/>
                      <w:szCs w:val="24"/>
                      <w:lang w:eastAsia="pt-BR"/>
                    </w:rPr>
                    <w:t xml:space="preserve">Art. 12. </w:t>
                  </w:r>
                  <w:r w:rsidRPr="009015A0">
                    <w:rPr>
                      <w:rFonts w:ascii="Arial" w:eastAsia="Times New Roman" w:hAnsi="Arial" w:cs="Arial"/>
                      <w:sz w:val="24"/>
                      <w:szCs w:val="24"/>
                      <w:lang w:eastAsia="pt-BR"/>
                    </w:rPr>
                    <w:t>O Grupo de Fiscalização, Arrecadação e Apoio às Atividades Operacionais será composto de cargos distribuídos em 02 (dois) subgrupos:</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I – subgrupo Nível Superior:</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a) Advogado;</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b) Analista de Sistema;</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c) Contador;</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d) Especialista de Nível Superior em Metrologia Legal ou Avaliação da Conformidade;</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e) Economista;</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f) Inspetor de Atividade de Campo de Nível Superior;</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II – subgrupo Nível Médio:</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proofErr w:type="gramStart"/>
                  <w:r w:rsidRPr="009015A0">
                    <w:rPr>
                      <w:rFonts w:ascii="Arial" w:eastAsia="Times New Roman" w:hAnsi="Arial" w:cs="Arial"/>
                      <w:sz w:val="24"/>
                      <w:szCs w:val="24"/>
                      <w:lang w:eastAsia="pt-BR"/>
                    </w:rPr>
                    <w:t>a</w:t>
                  </w:r>
                  <w:proofErr w:type="gramEnd"/>
                  <w:r w:rsidRPr="009015A0">
                    <w:rPr>
                      <w:rFonts w:ascii="Arial" w:eastAsia="Times New Roman" w:hAnsi="Arial" w:cs="Arial"/>
                      <w:sz w:val="24"/>
                      <w:szCs w:val="24"/>
                      <w:lang w:eastAsia="pt-BR"/>
                    </w:rPr>
                    <w:t>)           Agente Administrativo;</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proofErr w:type="gramStart"/>
                  <w:r w:rsidRPr="009015A0">
                    <w:rPr>
                      <w:rFonts w:ascii="Arial" w:eastAsia="Times New Roman" w:hAnsi="Arial" w:cs="Arial"/>
                      <w:sz w:val="24"/>
                      <w:szCs w:val="24"/>
                      <w:lang w:eastAsia="pt-BR"/>
                    </w:rPr>
                    <w:t>b)</w:t>
                  </w:r>
                  <w:proofErr w:type="gramEnd"/>
                  <w:r w:rsidRPr="009015A0">
                    <w:rPr>
                      <w:rFonts w:ascii="Arial" w:eastAsia="Times New Roman" w:hAnsi="Arial" w:cs="Arial"/>
                      <w:sz w:val="24"/>
                      <w:szCs w:val="24"/>
                      <w:lang w:eastAsia="pt-BR"/>
                    </w:rPr>
                    <w:t>           Digitador;</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proofErr w:type="gramStart"/>
                  <w:r w:rsidRPr="009015A0">
                    <w:rPr>
                      <w:rFonts w:ascii="Arial" w:eastAsia="Times New Roman" w:hAnsi="Arial" w:cs="Arial"/>
                      <w:sz w:val="24"/>
                      <w:szCs w:val="24"/>
                      <w:lang w:eastAsia="pt-BR"/>
                    </w:rPr>
                    <w:t>c)</w:t>
                  </w:r>
                  <w:proofErr w:type="gramEnd"/>
                  <w:r w:rsidRPr="009015A0">
                    <w:rPr>
                      <w:rFonts w:ascii="Arial" w:eastAsia="Times New Roman" w:hAnsi="Arial" w:cs="Arial"/>
                      <w:sz w:val="24"/>
                      <w:szCs w:val="24"/>
                      <w:lang w:eastAsia="pt-BR"/>
                    </w:rPr>
                    <w:t>           Especialista de Nível Médio em Metrologia ou Avaliação da Conformidade;</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proofErr w:type="gramStart"/>
                  <w:r w:rsidRPr="009015A0">
                    <w:rPr>
                      <w:rFonts w:ascii="Arial" w:eastAsia="Times New Roman" w:hAnsi="Arial" w:cs="Arial"/>
                      <w:sz w:val="24"/>
                      <w:szCs w:val="24"/>
                      <w:lang w:eastAsia="pt-BR"/>
                    </w:rPr>
                    <w:t>d)</w:t>
                  </w:r>
                  <w:proofErr w:type="gramEnd"/>
                  <w:r w:rsidRPr="009015A0">
                    <w:rPr>
                      <w:rFonts w:ascii="Arial" w:eastAsia="Times New Roman" w:hAnsi="Arial" w:cs="Arial"/>
                      <w:sz w:val="24"/>
                      <w:szCs w:val="24"/>
                      <w:lang w:eastAsia="pt-BR"/>
                    </w:rPr>
                    <w:t>           Técnico em Informática;</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proofErr w:type="gramStart"/>
                  <w:r w:rsidRPr="009015A0">
                    <w:rPr>
                      <w:rFonts w:ascii="Arial" w:eastAsia="Times New Roman" w:hAnsi="Arial" w:cs="Arial"/>
                      <w:sz w:val="24"/>
                      <w:szCs w:val="24"/>
                      <w:lang w:eastAsia="pt-BR"/>
                    </w:rPr>
                    <w:t>e</w:t>
                  </w:r>
                  <w:proofErr w:type="gramEnd"/>
                  <w:r w:rsidRPr="009015A0">
                    <w:rPr>
                      <w:rFonts w:ascii="Arial" w:eastAsia="Times New Roman" w:hAnsi="Arial" w:cs="Arial"/>
                      <w:sz w:val="24"/>
                      <w:szCs w:val="24"/>
                      <w:lang w:eastAsia="pt-BR"/>
                    </w:rPr>
                    <w:t>)           Telefonista/Recepcionista.</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b/>
                      <w:bCs/>
                      <w:sz w:val="24"/>
                      <w:szCs w:val="24"/>
                      <w:lang w:eastAsia="pt-BR"/>
                    </w:rPr>
                    <w:t>Art. 13.</w:t>
                  </w:r>
                  <w:r w:rsidRPr="009015A0">
                    <w:rPr>
                      <w:rFonts w:ascii="Arial" w:eastAsia="Times New Roman" w:hAnsi="Arial" w:cs="Arial"/>
                      <w:sz w:val="24"/>
                      <w:szCs w:val="24"/>
                      <w:lang w:eastAsia="pt-BR"/>
                    </w:rPr>
                    <w:t xml:space="preserve"> Os servidores nomeados a partir da publicação desta Lei serão enquadrados nas classes e padrões iniciais, de acordo com os vencimentos correspondentes ao Anexo II.</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b/>
                      <w:bCs/>
                      <w:sz w:val="24"/>
                      <w:szCs w:val="24"/>
                      <w:lang w:eastAsia="pt-BR"/>
                    </w:rPr>
                    <w:t>Art. 14.</w:t>
                  </w:r>
                  <w:r w:rsidRPr="009015A0">
                    <w:rPr>
                      <w:rFonts w:ascii="Arial" w:eastAsia="Times New Roman" w:hAnsi="Arial" w:cs="Arial"/>
                      <w:sz w:val="24"/>
                      <w:szCs w:val="24"/>
                      <w:lang w:eastAsia="pt-BR"/>
                    </w:rPr>
                    <w:t xml:space="preserve"> Para o provimento dos cargos de Especialista de Nível Superior em Metrologia Legal ou Avaliação da Conformidade, Inspetor de Atividades de Campo de Nível Superior e Especialista de Nível Médio em Metrologia Legal ou Avaliação da Conformidade, serão exigidos escolaridade de nível superior e médio </w:t>
                  </w:r>
                  <w:r w:rsidRPr="009015A0">
                    <w:rPr>
                      <w:rFonts w:ascii="Arial" w:eastAsia="Times New Roman" w:hAnsi="Arial" w:cs="Arial"/>
                      <w:sz w:val="24"/>
                      <w:szCs w:val="24"/>
                      <w:lang w:eastAsia="pt-BR"/>
                    </w:rPr>
                    <w:lastRenderedPageBreak/>
                    <w:t>respectivamente.</w:t>
                  </w: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TÍTULO VII</w:t>
                  </w: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DA ESCOLARIDADE</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b/>
                      <w:bCs/>
                      <w:sz w:val="24"/>
                      <w:szCs w:val="24"/>
                      <w:lang w:eastAsia="pt-BR"/>
                    </w:rPr>
                    <w:t>Art. 15.</w:t>
                  </w:r>
                  <w:r w:rsidRPr="009015A0">
                    <w:rPr>
                      <w:rFonts w:ascii="Arial" w:eastAsia="Times New Roman" w:hAnsi="Arial" w:cs="Arial"/>
                      <w:sz w:val="24"/>
                      <w:szCs w:val="24"/>
                      <w:lang w:eastAsia="pt-BR"/>
                    </w:rPr>
                    <w:t xml:space="preserve"> A escolaridade exigida para o ingresso no Grupo Fiscalização, Arrecadação e Apoio às Atividades Operacionais é a seguinte:</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I – Nível Superior:</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a) Advogado: Bacharel em Direito;</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b) Analista de Sistema: Bacharel em Análise de Sistemas;</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c) Contador: Bacharel em Contabilidade;</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d) Economista: Bacharel em Economia;</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e) Especialista de Nível Superior em Metrologia ou Avaliação a Conformidade: Diploma devidamente registrado, de conclusão de curso de graduação em física, química, matemática, engenharia de produção, engenharia de sistemas, engenharia química, engenharia mecânica, engenharia florestal, engenharia civil ou engenharia elétrica com registro de órgão de classe especifico;</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f) Inspetor de Atividade de Campo: Diploma devidamente registrado, de conclusão de curso de graduação em física, química, matemática, engenharia de produção, engenharia de sistema, engenharia de química, engenharia mecânica, engenharia florestal, engenharia civil ou engenharia elétrica com registro de órgão de classe específico.</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II – Nível Médio:</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a) Agente Administrativo: Curso de Ensino Médio completo;</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b) Digitador: Curso de Ensino Médio completo;</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sz w:val="24"/>
                      <w:szCs w:val="24"/>
                      <w:lang w:eastAsia="pt-BR"/>
                    </w:rPr>
                    <w:t>c) Técnico em Informática: Curso de Ensino Médio completo;</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proofErr w:type="gramStart"/>
                  <w:r w:rsidRPr="009015A0">
                    <w:rPr>
                      <w:rFonts w:ascii="Arial" w:eastAsia="Times New Roman" w:hAnsi="Arial" w:cs="Arial"/>
                      <w:sz w:val="24"/>
                      <w:szCs w:val="24"/>
                      <w:lang w:eastAsia="pt-BR"/>
                    </w:rPr>
                    <w:t>d)</w:t>
                  </w:r>
                  <w:proofErr w:type="gramEnd"/>
                  <w:r w:rsidRPr="009015A0">
                    <w:rPr>
                      <w:rFonts w:ascii="Arial" w:eastAsia="Times New Roman" w:hAnsi="Arial" w:cs="Arial"/>
                      <w:sz w:val="24"/>
                      <w:szCs w:val="24"/>
                      <w:lang w:eastAsia="pt-BR"/>
                    </w:rPr>
                    <w:t>Telefonista/Recepcionista: Curso de Ensino Médio completo.</w:t>
                  </w:r>
                </w:p>
                <w:p w:rsidR="009015A0" w:rsidRPr="009015A0" w:rsidRDefault="009015A0" w:rsidP="009015A0">
                  <w:pPr>
                    <w:spacing w:before="100" w:beforeAutospacing="1" w:after="100" w:afterAutospacing="1" w:line="240" w:lineRule="auto"/>
                    <w:jc w:val="both"/>
                    <w:rPr>
                      <w:rFonts w:ascii="Arial" w:eastAsia="Times New Roman" w:hAnsi="Arial" w:cs="Arial"/>
                      <w:sz w:val="24"/>
                      <w:szCs w:val="24"/>
                      <w:lang w:eastAsia="pt-BR"/>
                    </w:rPr>
                  </w:pPr>
                  <w:r w:rsidRPr="009015A0">
                    <w:rPr>
                      <w:rFonts w:ascii="Arial" w:eastAsia="Times New Roman" w:hAnsi="Arial" w:cs="Arial"/>
                      <w:b/>
                      <w:bCs/>
                      <w:sz w:val="24"/>
                      <w:szCs w:val="24"/>
                      <w:lang w:eastAsia="pt-BR"/>
                    </w:rPr>
                    <w:t>Art. 16.</w:t>
                  </w:r>
                  <w:r w:rsidRPr="009015A0">
                    <w:rPr>
                      <w:rFonts w:ascii="Arial" w:eastAsia="Times New Roman" w:hAnsi="Arial" w:cs="Arial"/>
                      <w:sz w:val="24"/>
                      <w:szCs w:val="24"/>
                      <w:lang w:eastAsia="pt-BR"/>
                    </w:rPr>
                    <w:t xml:space="preserve"> Aplicam-se aos servidores regidos por esta Lei as demais disposições da Lei nº. 0066, de 03 de maio de 1993.</w:t>
                  </w: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ANEXO II</w:t>
                  </w: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NÍVEL MÉDIO – FISCALIZAÇÃO</w:t>
                  </w:r>
                </w:p>
                <w:tbl>
                  <w:tblPr>
                    <w:tblW w:w="850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142"/>
                    <w:gridCol w:w="2019"/>
                    <w:gridCol w:w="2102"/>
                    <w:gridCol w:w="2242"/>
                  </w:tblGrid>
                  <w:tr w:rsidR="009015A0" w:rsidRPr="009015A0">
                    <w:trPr>
                      <w:tblCellSpacing w:w="0" w:type="dxa"/>
                    </w:trPr>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b/>
                            <w:bCs/>
                            <w:sz w:val="24"/>
                            <w:szCs w:val="24"/>
                            <w:lang w:eastAsia="pt-BR"/>
                          </w:rPr>
                          <w:t>CLASSE</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b/>
                            <w:bCs/>
                            <w:sz w:val="24"/>
                            <w:szCs w:val="24"/>
                            <w:lang w:eastAsia="pt-BR"/>
                          </w:rPr>
                          <w:t>NÍVEL</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b/>
                            <w:bCs/>
                            <w:sz w:val="24"/>
                            <w:szCs w:val="24"/>
                            <w:lang w:eastAsia="pt-BR"/>
                          </w:rPr>
                          <w:t>PADRÃO</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b/>
                            <w:bCs/>
                            <w:sz w:val="24"/>
                            <w:szCs w:val="24"/>
                            <w:lang w:eastAsia="pt-BR"/>
                          </w:rPr>
                          <w:t>VENCIMENTO</w:t>
                        </w:r>
                      </w:p>
                    </w:tc>
                  </w:tr>
                  <w:tr w:rsidR="009015A0" w:rsidRPr="009015A0">
                    <w:trPr>
                      <w:tblCellSpacing w:w="0" w:type="dxa"/>
                    </w:trPr>
                    <w:tc>
                      <w:tcPr>
                        <w:tcW w:w="2445" w:type="dxa"/>
                        <w:vMerge w:val="restart"/>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b/>
                            <w:bCs/>
                            <w:sz w:val="24"/>
                            <w:szCs w:val="24"/>
                            <w:lang w:eastAsia="pt-BR"/>
                          </w:rPr>
                          <w:lastRenderedPageBreak/>
                          <w:t>ESPECIAL</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24</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VI</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R$ 1.909,92</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23</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V</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R$ 1.863,33</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22</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IV</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R$ 1.817,89</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21</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III</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R$ 1.773,55</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20</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II</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R$ 1.730,29</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19</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R$ 1.688,09</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7335" w:type="dxa"/>
                        <w:gridSpan w:val="3"/>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Times New Roman" w:eastAsia="Times New Roman" w:hAnsi="Times New Roman" w:cs="Times New Roman"/>
                            <w:sz w:val="24"/>
                            <w:szCs w:val="24"/>
                            <w:lang w:eastAsia="pt-BR"/>
                          </w:rPr>
                          <w:t> </w:t>
                        </w:r>
                      </w:p>
                    </w:tc>
                  </w:tr>
                  <w:tr w:rsidR="009015A0" w:rsidRPr="009015A0">
                    <w:trPr>
                      <w:tblCellSpacing w:w="0" w:type="dxa"/>
                    </w:trPr>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b/>
                            <w:bCs/>
                            <w:sz w:val="24"/>
                            <w:szCs w:val="24"/>
                            <w:lang w:eastAsia="pt-BR"/>
                          </w:rPr>
                          <w:t>1ª</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18</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VI</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R$ 1.646,92</w:t>
                        </w:r>
                      </w:p>
                    </w:tc>
                  </w:tr>
                  <w:tr w:rsidR="009015A0" w:rsidRPr="009015A0">
                    <w:trPr>
                      <w:tblCellSpacing w:w="0" w:type="dxa"/>
                    </w:trPr>
                    <w:tc>
                      <w:tcPr>
                        <w:tcW w:w="2445" w:type="dxa"/>
                        <w:vMerge w:val="restart"/>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b/>
                            <w:bCs/>
                            <w:sz w:val="24"/>
                            <w:szCs w:val="24"/>
                            <w:lang w:eastAsia="pt-BR"/>
                          </w:rPr>
                          <w:t> </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17</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V</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R$ 1.606,75</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16</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IV</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R$ 1.567,56</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15</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III</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R$ 1.529,32</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14</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II</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R$ 1.492,02</w:t>
                        </w:r>
                      </w:p>
                    </w:tc>
                  </w:tr>
                  <w:tr w:rsidR="009015A0" w:rsidRPr="009015A0">
                    <w:trPr>
                      <w:tblCellSpacing w:w="0" w:type="dxa"/>
                    </w:trPr>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b/>
                            <w:bCs/>
                            <w:sz w:val="24"/>
                            <w:szCs w:val="24"/>
                            <w:lang w:eastAsia="pt-BR"/>
                          </w:rPr>
                          <w:t> </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13</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R$ 1.445,63</w:t>
                        </w:r>
                      </w:p>
                    </w:tc>
                  </w:tr>
                  <w:tr w:rsidR="009015A0" w:rsidRPr="009015A0">
                    <w:trPr>
                      <w:tblCellSpacing w:w="0" w:type="dxa"/>
                    </w:trPr>
                    <w:tc>
                      <w:tcPr>
                        <w:tcW w:w="9780" w:type="dxa"/>
                        <w:gridSpan w:val="4"/>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Times New Roman" w:eastAsia="Times New Roman" w:hAnsi="Times New Roman" w:cs="Times New Roman"/>
                            <w:sz w:val="24"/>
                            <w:szCs w:val="24"/>
                            <w:lang w:eastAsia="pt-BR"/>
                          </w:rPr>
                          <w:t> </w:t>
                        </w:r>
                      </w:p>
                    </w:tc>
                  </w:tr>
                  <w:tr w:rsidR="009015A0" w:rsidRPr="009015A0">
                    <w:trPr>
                      <w:tblCellSpacing w:w="0" w:type="dxa"/>
                    </w:trPr>
                    <w:tc>
                      <w:tcPr>
                        <w:tcW w:w="2445" w:type="dxa"/>
                        <w:vMerge w:val="restart"/>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b/>
                            <w:bCs/>
                            <w:sz w:val="24"/>
                            <w:szCs w:val="24"/>
                            <w:lang w:eastAsia="pt-BR"/>
                          </w:rPr>
                          <w:t>2ª</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12</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VI</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R$ 1.420,13</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11</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V</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R$ 1.385,49</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10</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IV</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R$ 1.351,70</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09</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III</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R$ 1.318,73</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08</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II</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R$ 1.286,57</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07</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R$ 1.255,19</w:t>
                        </w:r>
                      </w:p>
                    </w:tc>
                  </w:tr>
                  <w:tr w:rsidR="009015A0" w:rsidRPr="009015A0">
                    <w:trPr>
                      <w:tblCellSpacing w:w="0" w:type="dxa"/>
                    </w:trPr>
                    <w:tc>
                      <w:tcPr>
                        <w:tcW w:w="9780" w:type="dxa"/>
                        <w:gridSpan w:val="4"/>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Times New Roman" w:eastAsia="Times New Roman" w:hAnsi="Times New Roman" w:cs="Times New Roman"/>
                            <w:sz w:val="24"/>
                            <w:szCs w:val="24"/>
                            <w:lang w:eastAsia="pt-BR"/>
                          </w:rPr>
                          <w:t> </w:t>
                        </w:r>
                      </w:p>
                    </w:tc>
                  </w:tr>
                  <w:tr w:rsidR="009015A0" w:rsidRPr="009015A0">
                    <w:trPr>
                      <w:tblCellSpacing w:w="0" w:type="dxa"/>
                    </w:trPr>
                    <w:tc>
                      <w:tcPr>
                        <w:tcW w:w="2445" w:type="dxa"/>
                        <w:vMerge w:val="restart"/>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b/>
                            <w:bCs/>
                            <w:sz w:val="24"/>
                            <w:szCs w:val="24"/>
                            <w:lang w:eastAsia="pt-BR"/>
                          </w:rPr>
                          <w:t> 3ª</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06</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VI</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R$ 1.224,57</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05</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V</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R$ 1.194,71</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04</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IV</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R$ 1.165,57</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03</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III</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R$ 1.137,14</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02</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II</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R$ 1.109,40</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GIM 01</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w:t>
                        </w:r>
                      </w:p>
                    </w:tc>
                    <w:tc>
                      <w:tcPr>
                        <w:tcW w:w="244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R$ 1.082,34</w:t>
                        </w:r>
                      </w:p>
                    </w:tc>
                  </w:tr>
                </w:tbl>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ANEXO III</w:t>
                  </w:r>
                </w:p>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NÍVEL SUPERIOR - FISCALIZAÇÃO</w:t>
                  </w:r>
                </w:p>
                <w:tbl>
                  <w:tblPr>
                    <w:tblW w:w="850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140"/>
                    <w:gridCol w:w="2019"/>
                    <w:gridCol w:w="2101"/>
                    <w:gridCol w:w="2245"/>
                  </w:tblGrid>
                  <w:tr w:rsidR="009015A0" w:rsidRPr="009015A0">
                    <w:trPr>
                      <w:tblCellSpacing w:w="0" w:type="dxa"/>
                    </w:trPr>
                    <w:tc>
                      <w:tcPr>
                        <w:tcW w:w="232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b/>
                            <w:bCs/>
                            <w:sz w:val="24"/>
                            <w:szCs w:val="24"/>
                            <w:lang w:eastAsia="pt-BR"/>
                          </w:rPr>
                          <w:t>CLASSE</w:t>
                        </w: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b/>
                            <w:bCs/>
                            <w:sz w:val="24"/>
                            <w:szCs w:val="24"/>
                            <w:lang w:eastAsia="pt-BR"/>
                          </w:rPr>
                          <w:t>NÍVEL</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b/>
                            <w:bCs/>
                            <w:sz w:val="24"/>
                            <w:szCs w:val="24"/>
                            <w:lang w:eastAsia="pt-BR"/>
                          </w:rPr>
                          <w:t>PADRÃO</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b/>
                            <w:bCs/>
                            <w:sz w:val="24"/>
                            <w:szCs w:val="24"/>
                            <w:lang w:eastAsia="pt-BR"/>
                          </w:rPr>
                          <w:t>VENCIMENTO</w:t>
                        </w:r>
                      </w:p>
                    </w:tc>
                  </w:tr>
                  <w:tr w:rsidR="009015A0" w:rsidRPr="009015A0">
                    <w:trPr>
                      <w:tblCellSpacing w:w="0" w:type="dxa"/>
                    </w:trPr>
                    <w:tc>
                      <w:tcPr>
                        <w:tcW w:w="2325" w:type="dxa"/>
                        <w:vMerge w:val="restart"/>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b/>
                            <w:bCs/>
                            <w:sz w:val="24"/>
                            <w:szCs w:val="24"/>
                            <w:lang w:eastAsia="pt-BR"/>
                          </w:rPr>
                          <w:t>ESPECIAL</w:t>
                        </w: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 24</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VI</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R$ 2.719,62</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 23</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V</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R$ 2.653,28</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 22</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IV</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R$ 2.588,57</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 21</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III</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R$ 2.525,43</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 20</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II</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R$ 2.463,84</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 19</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R$ 2.403,74</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6960" w:type="dxa"/>
                        <w:gridSpan w:val="3"/>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Times New Roman" w:eastAsia="Times New Roman" w:hAnsi="Times New Roman" w:cs="Times New Roman"/>
                            <w:sz w:val="24"/>
                            <w:szCs w:val="24"/>
                            <w:lang w:eastAsia="pt-BR"/>
                          </w:rPr>
                          <w:t> </w:t>
                        </w:r>
                      </w:p>
                    </w:tc>
                  </w:tr>
                  <w:tr w:rsidR="009015A0" w:rsidRPr="009015A0">
                    <w:trPr>
                      <w:tblCellSpacing w:w="0" w:type="dxa"/>
                    </w:trPr>
                    <w:tc>
                      <w:tcPr>
                        <w:tcW w:w="232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b/>
                            <w:bCs/>
                            <w:sz w:val="24"/>
                            <w:szCs w:val="24"/>
                            <w:lang w:eastAsia="pt-BR"/>
                          </w:rPr>
                          <w:t>1ª</w:t>
                        </w: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 18</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VI</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R$ 2.345,12</w:t>
                        </w:r>
                      </w:p>
                    </w:tc>
                  </w:tr>
                  <w:tr w:rsidR="009015A0" w:rsidRPr="009015A0">
                    <w:trPr>
                      <w:tblCellSpacing w:w="0" w:type="dxa"/>
                    </w:trPr>
                    <w:tc>
                      <w:tcPr>
                        <w:tcW w:w="2325" w:type="dxa"/>
                        <w:vMerge w:val="restart"/>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b/>
                            <w:bCs/>
                            <w:sz w:val="24"/>
                            <w:szCs w:val="24"/>
                            <w:lang w:eastAsia="pt-BR"/>
                          </w:rPr>
                          <w:t> </w:t>
                        </w: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 17</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V</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R$ 2.287,92</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 16</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IV</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R$ 2.232,12</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 15</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III</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R$ 2.177,67</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GIS14</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II</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R$ 2.124,56</w:t>
                        </w:r>
                      </w:p>
                    </w:tc>
                  </w:tr>
                  <w:tr w:rsidR="009015A0" w:rsidRPr="009015A0">
                    <w:trPr>
                      <w:tblCellSpacing w:w="0" w:type="dxa"/>
                    </w:trPr>
                    <w:tc>
                      <w:tcPr>
                        <w:tcW w:w="2325"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b/>
                            <w:bCs/>
                            <w:sz w:val="24"/>
                            <w:szCs w:val="24"/>
                            <w:lang w:eastAsia="pt-BR"/>
                          </w:rPr>
                          <w:lastRenderedPageBreak/>
                          <w:t> </w:t>
                        </w: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GIS13</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R$ 2.072,74</w:t>
                        </w:r>
                      </w:p>
                    </w:tc>
                  </w:tr>
                  <w:tr w:rsidR="009015A0" w:rsidRPr="009015A0">
                    <w:trPr>
                      <w:tblCellSpacing w:w="0" w:type="dxa"/>
                    </w:trPr>
                    <w:tc>
                      <w:tcPr>
                        <w:tcW w:w="9285" w:type="dxa"/>
                        <w:gridSpan w:val="4"/>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Times New Roman" w:eastAsia="Times New Roman" w:hAnsi="Times New Roman" w:cs="Times New Roman"/>
                            <w:sz w:val="24"/>
                            <w:szCs w:val="24"/>
                            <w:lang w:eastAsia="pt-BR"/>
                          </w:rPr>
                          <w:t> </w:t>
                        </w:r>
                      </w:p>
                    </w:tc>
                  </w:tr>
                  <w:tr w:rsidR="009015A0" w:rsidRPr="009015A0">
                    <w:trPr>
                      <w:tblCellSpacing w:w="0" w:type="dxa"/>
                    </w:trPr>
                    <w:tc>
                      <w:tcPr>
                        <w:tcW w:w="2325" w:type="dxa"/>
                        <w:vMerge w:val="restart"/>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b/>
                            <w:bCs/>
                            <w:sz w:val="24"/>
                            <w:szCs w:val="24"/>
                            <w:lang w:eastAsia="pt-BR"/>
                          </w:rPr>
                          <w:t>2ª</w:t>
                        </w: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 12</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VI</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R$ 2.022,19</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 11</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V</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R$ 1.972,87</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 10</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IV</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R$ 1.924,72</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 09</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III</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R$ 1.877,80</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 08</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II</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R$ 1.832,00</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 07</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R$ 1787,32</w:t>
                        </w:r>
                      </w:p>
                    </w:tc>
                  </w:tr>
                  <w:tr w:rsidR="009015A0" w:rsidRPr="009015A0">
                    <w:trPr>
                      <w:tblCellSpacing w:w="0" w:type="dxa"/>
                    </w:trPr>
                    <w:tc>
                      <w:tcPr>
                        <w:tcW w:w="9285" w:type="dxa"/>
                        <w:gridSpan w:val="4"/>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Times New Roman" w:eastAsia="Times New Roman" w:hAnsi="Times New Roman" w:cs="Times New Roman"/>
                            <w:sz w:val="24"/>
                            <w:szCs w:val="24"/>
                            <w:lang w:eastAsia="pt-BR"/>
                          </w:rPr>
                          <w:t> </w:t>
                        </w:r>
                      </w:p>
                    </w:tc>
                  </w:tr>
                  <w:tr w:rsidR="009015A0" w:rsidRPr="009015A0">
                    <w:trPr>
                      <w:tblCellSpacing w:w="0" w:type="dxa"/>
                    </w:trPr>
                    <w:tc>
                      <w:tcPr>
                        <w:tcW w:w="2325" w:type="dxa"/>
                        <w:vMerge w:val="restart"/>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b/>
                            <w:bCs/>
                            <w:sz w:val="24"/>
                            <w:szCs w:val="24"/>
                            <w:lang w:eastAsia="pt-BR"/>
                          </w:rPr>
                          <w:t> 3ª</w:t>
                        </w: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 06</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VI</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R$ 1.743,73</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 05</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V</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R$ 1.701,20</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 04</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IV</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R$ 1.659,70</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 03</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III</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R$ 1.619,22</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 02</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II</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R$ 1.579,73</w:t>
                        </w:r>
                      </w:p>
                    </w:tc>
                  </w:tr>
                  <w:tr w:rsidR="009015A0" w:rsidRPr="009015A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c>
                      <w:tcPr>
                        <w:tcW w:w="228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GIS 01</w:t>
                        </w:r>
                      </w:p>
                    </w:tc>
                    <w:tc>
                      <w:tcPr>
                        <w:tcW w:w="231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w:t>
                        </w:r>
                      </w:p>
                    </w:tc>
                    <w:tc>
                      <w:tcPr>
                        <w:tcW w:w="237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R$ 1.541,20</w:t>
                        </w:r>
                      </w:p>
                    </w:tc>
                  </w:tr>
                </w:tbl>
                <w:p w:rsidR="009015A0" w:rsidRPr="009015A0" w:rsidRDefault="009015A0" w:rsidP="009015A0">
                  <w:pPr>
                    <w:spacing w:before="100" w:beforeAutospacing="1" w:after="100" w:afterAutospacing="1" w:line="240" w:lineRule="auto"/>
                    <w:jc w:val="center"/>
                    <w:rPr>
                      <w:rFonts w:ascii="Arial" w:eastAsia="Times New Roman" w:hAnsi="Arial" w:cs="Arial"/>
                      <w:sz w:val="24"/>
                      <w:szCs w:val="24"/>
                      <w:lang w:eastAsia="pt-BR"/>
                    </w:rPr>
                  </w:pPr>
                  <w:r w:rsidRPr="009015A0">
                    <w:rPr>
                      <w:rFonts w:ascii="Arial" w:eastAsia="Times New Roman" w:hAnsi="Arial" w:cs="Arial"/>
                      <w:b/>
                      <w:bCs/>
                      <w:sz w:val="24"/>
                      <w:szCs w:val="24"/>
                      <w:lang w:eastAsia="pt-BR"/>
                    </w:rPr>
                    <w:t> ANEXO IV</w:t>
                  </w:r>
                </w:p>
                <w:tbl>
                  <w:tblPr>
                    <w:tblW w:w="75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400"/>
                    <w:gridCol w:w="2160"/>
                  </w:tblGrid>
                  <w:tr w:rsidR="009015A0" w:rsidRPr="009015A0">
                    <w:trPr>
                      <w:tblCellSpacing w:w="0" w:type="dxa"/>
                    </w:trPr>
                    <w:tc>
                      <w:tcPr>
                        <w:tcW w:w="540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b/>
                            <w:bCs/>
                            <w:sz w:val="24"/>
                            <w:szCs w:val="24"/>
                            <w:lang w:eastAsia="pt-BR"/>
                          </w:rPr>
                          <w:t>CARGOS - DENOMINAÇÃO</w:t>
                        </w:r>
                      </w:p>
                    </w:tc>
                    <w:tc>
                      <w:tcPr>
                        <w:tcW w:w="216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b/>
                            <w:bCs/>
                            <w:sz w:val="24"/>
                            <w:szCs w:val="24"/>
                            <w:lang w:eastAsia="pt-BR"/>
                          </w:rPr>
                          <w:t>QUANTITATIVO</w:t>
                        </w:r>
                      </w:p>
                    </w:tc>
                  </w:tr>
                  <w:tr w:rsidR="009015A0" w:rsidRPr="009015A0">
                    <w:trPr>
                      <w:tblCellSpacing w:w="0" w:type="dxa"/>
                    </w:trPr>
                    <w:tc>
                      <w:tcPr>
                        <w:tcW w:w="540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Especialista de Nível Superior em Metrologia Legal ou Avaliação da Conformidade</w:t>
                        </w:r>
                      </w:p>
                    </w:tc>
                    <w:tc>
                      <w:tcPr>
                        <w:tcW w:w="216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35</w:t>
                        </w:r>
                      </w:p>
                    </w:tc>
                  </w:tr>
                  <w:tr w:rsidR="009015A0" w:rsidRPr="009015A0">
                    <w:trPr>
                      <w:tblCellSpacing w:w="0" w:type="dxa"/>
                    </w:trPr>
                    <w:tc>
                      <w:tcPr>
                        <w:tcW w:w="540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Especialista de Nível Médio em Metrologia Legal ou Avaliação da Conformidade</w:t>
                        </w:r>
                      </w:p>
                    </w:tc>
                    <w:tc>
                      <w:tcPr>
                        <w:tcW w:w="216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30</w:t>
                        </w:r>
                      </w:p>
                    </w:tc>
                  </w:tr>
                  <w:tr w:rsidR="009015A0" w:rsidRPr="009015A0">
                    <w:trPr>
                      <w:tblCellSpacing w:w="0" w:type="dxa"/>
                    </w:trPr>
                    <w:tc>
                      <w:tcPr>
                        <w:tcW w:w="540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Contador</w:t>
                        </w:r>
                      </w:p>
                    </w:tc>
                    <w:tc>
                      <w:tcPr>
                        <w:tcW w:w="216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04</w:t>
                        </w:r>
                      </w:p>
                    </w:tc>
                  </w:tr>
                  <w:tr w:rsidR="009015A0" w:rsidRPr="009015A0">
                    <w:trPr>
                      <w:tblCellSpacing w:w="0" w:type="dxa"/>
                    </w:trPr>
                    <w:tc>
                      <w:tcPr>
                        <w:tcW w:w="540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Economista</w:t>
                        </w:r>
                      </w:p>
                    </w:tc>
                    <w:tc>
                      <w:tcPr>
                        <w:tcW w:w="216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02</w:t>
                        </w:r>
                      </w:p>
                    </w:tc>
                  </w:tr>
                  <w:tr w:rsidR="009015A0" w:rsidRPr="009015A0">
                    <w:trPr>
                      <w:tblCellSpacing w:w="0" w:type="dxa"/>
                    </w:trPr>
                    <w:tc>
                      <w:tcPr>
                        <w:tcW w:w="540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Agente Administrativo</w:t>
                        </w:r>
                      </w:p>
                    </w:tc>
                    <w:tc>
                      <w:tcPr>
                        <w:tcW w:w="216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12</w:t>
                        </w:r>
                      </w:p>
                    </w:tc>
                  </w:tr>
                  <w:tr w:rsidR="009015A0" w:rsidRPr="009015A0">
                    <w:trPr>
                      <w:tblCellSpacing w:w="0" w:type="dxa"/>
                    </w:trPr>
                    <w:tc>
                      <w:tcPr>
                        <w:tcW w:w="540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Advogado</w:t>
                        </w:r>
                      </w:p>
                    </w:tc>
                    <w:tc>
                      <w:tcPr>
                        <w:tcW w:w="216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04</w:t>
                        </w:r>
                      </w:p>
                    </w:tc>
                  </w:tr>
                  <w:tr w:rsidR="009015A0" w:rsidRPr="009015A0">
                    <w:trPr>
                      <w:tblCellSpacing w:w="0" w:type="dxa"/>
                    </w:trPr>
                    <w:tc>
                      <w:tcPr>
                        <w:tcW w:w="540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Técnico em Informática</w:t>
                        </w:r>
                      </w:p>
                    </w:tc>
                    <w:tc>
                      <w:tcPr>
                        <w:tcW w:w="216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02</w:t>
                        </w:r>
                      </w:p>
                    </w:tc>
                  </w:tr>
                  <w:tr w:rsidR="009015A0" w:rsidRPr="009015A0">
                    <w:trPr>
                      <w:tblCellSpacing w:w="0" w:type="dxa"/>
                    </w:trPr>
                    <w:tc>
                      <w:tcPr>
                        <w:tcW w:w="540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Analista de Sistema</w:t>
                        </w:r>
                      </w:p>
                    </w:tc>
                    <w:tc>
                      <w:tcPr>
                        <w:tcW w:w="216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02</w:t>
                        </w:r>
                      </w:p>
                    </w:tc>
                  </w:tr>
                  <w:tr w:rsidR="009015A0" w:rsidRPr="009015A0">
                    <w:trPr>
                      <w:tblCellSpacing w:w="0" w:type="dxa"/>
                    </w:trPr>
                    <w:tc>
                      <w:tcPr>
                        <w:tcW w:w="540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Inspetor de Atividade de Campo-Nível Superior</w:t>
                        </w:r>
                      </w:p>
                    </w:tc>
                    <w:tc>
                      <w:tcPr>
                        <w:tcW w:w="216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06</w:t>
                        </w:r>
                      </w:p>
                    </w:tc>
                  </w:tr>
                  <w:tr w:rsidR="009015A0" w:rsidRPr="009015A0">
                    <w:trPr>
                      <w:tblCellSpacing w:w="0" w:type="dxa"/>
                    </w:trPr>
                    <w:tc>
                      <w:tcPr>
                        <w:tcW w:w="540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Telefonista/Recepcionista</w:t>
                        </w:r>
                      </w:p>
                    </w:tc>
                    <w:tc>
                      <w:tcPr>
                        <w:tcW w:w="216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04</w:t>
                        </w:r>
                      </w:p>
                    </w:tc>
                  </w:tr>
                  <w:tr w:rsidR="009015A0" w:rsidRPr="009015A0">
                    <w:trPr>
                      <w:tblCellSpacing w:w="0" w:type="dxa"/>
                    </w:trPr>
                    <w:tc>
                      <w:tcPr>
                        <w:tcW w:w="540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Digitador</w:t>
                        </w:r>
                      </w:p>
                    </w:tc>
                    <w:tc>
                      <w:tcPr>
                        <w:tcW w:w="2160" w:type="dxa"/>
                        <w:tcBorders>
                          <w:top w:val="outset" w:sz="6" w:space="0" w:color="auto"/>
                          <w:left w:val="outset" w:sz="6" w:space="0" w:color="auto"/>
                          <w:bottom w:val="outset" w:sz="6" w:space="0" w:color="auto"/>
                          <w:right w:val="outset" w:sz="6" w:space="0" w:color="auto"/>
                        </w:tcBorders>
                        <w:hideMark/>
                      </w:tcPr>
                      <w:p w:rsidR="009015A0" w:rsidRPr="009015A0" w:rsidRDefault="009015A0" w:rsidP="009015A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015A0">
                          <w:rPr>
                            <w:rFonts w:ascii="Arial" w:eastAsia="Times New Roman" w:hAnsi="Arial" w:cs="Arial"/>
                            <w:sz w:val="24"/>
                            <w:szCs w:val="24"/>
                            <w:lang w:eastAsia="pt-BR"/>
                          </w:rPr>
                          <w:t>06</w:t>
                        </w:r>
                      </w:p>
                    </w:tc>
                  </w:tr>
                </w:tbl>
                <w:p w:rsidR="009015A0" w:rsidRPr="009015A0" w:rsidRDefault="009015A0" w:rsidP="009015A0">
                  <w:pPr>
                    <w:spacing w:after="0" w:line="240" w:lineRule="auto"/>
                    <w:rPr>
                      <w:rFonts w:ascii="Arial" w:eastAsia="Times New Roman" w:hAnsi="Arial" w:cs="Arial"/>
                      <w:sz w:val="24"/>
                      <w:szCs w:val="24"/>
                      <w:lang w:eastAsia="pt-BR"/>
                    </w:rPr>
                  </w:pPr>
                </w:p>
              </w:tc>
            </w:tr>
          </w:tbl>
          <w:p w:rsidR="009015A0" w:rsidRPr="009015A0" w:rsidRDefault="009015A0" w:rsidP="009015A0">
            <w:pPr>
              <w:spacing w:after="0" w:line="240" w:lineRule="auto"/>
              <w:rPr>
                <w:rFonts w:ascii="Times New Roman" w:eastAsia="Times New Roman" w:hAnsi="Times New Roman" w:cs="Times New Roman"/>
                <w:sz w:val="24"/>
                <w:szCs w:val="24"/>
                <w:lang w:eastAsia="pt-BR"/>
              </w:rPr>
            </w:pPr>
          </w:p>
        </w:tc>
      </w:tr>
    </w:tbl>
    <w:p w:rsidR="0025055D" w:rsidRDefault="0025055D"/>
    <w:sectPr w:rsidR="0025055D" w:rsidSect="0025055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015A0"/>
    <w:rsid w:val="0025055D"/>
    <w:rsid w:val="00603956"/>
    <w:rsid w:val="009015A0"/>
    <w:rsid w:val="00F1430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55D"/>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9015A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9015A0"/>
    <w:rPr>
      <w:b/>
      <w:bCs/>
    </w:rPr>
  </w:style>
  <w:style w:type="character" w:styleId="nfase">
    <w:name w:val="Emphasis"/>
    <w:basedOn w:val="Fontepargpadro"/>
    <w:uiPriority w:val="20"/>
    <w:qFormat/>
    <w:rsid w:val="009015A0"/>
    <w:rPr>
      <w:i/>
      <w:iCs/>
    </w:rPr>
  </w:style>
  <w:style w:type="paragraph" w:styleId="Textodebalo">
    <w:name w:val="Balloon Text"/>
    <w:basedOn w:val="Normal"/>
    <w:link w:val="TextodebaloChar"/>
    <w:uiPriority w:val="99"/>
    <w:semiHidden/>
    <w:unhideWhenUsed/>
    <w:rsid w:val="009015A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015A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7048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1556</Words>
  <Characters>8404</Characters>
  <Application>Microsoft Office Word</Application>
  <DocSecurity>4</DocSecurity>
  <Lines>70</Lines>
  <Paragraphs>19</Paragraphs>
  <ScaleCrop>false</ScaleCrop>
  <Company>sead</Company>
  <LinksUpToDate>false</LinksUpToDate>
  <CharactersWithSpaces>9941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drh</dc:creator>
  <cp:lastModifiedBy>carlene</cp:lastModifiedBy>
  <cp:revision>2</cp:revision>
  <dcterms:created xsi:type="dcterms:W3CDTF">2015-07-07T19:07:00Z</dcterms:created>
  <dcterms:modified xsi:type="dcterms:W3CDTF">2015-07-07T19:07:00Z</dcterms:modified>
</cp:coreProperties>
</file>